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06" w:rsidRPr="000D4F06" w:rsidRDefault="000D4F06" w:rsidP="000D4F06">
      <w:pPr>
        <w:shd w:val="clear" w:color="auto" w:fill="FFFFFF"/>
        <w:tabs>
          <w:tab w:val="left" w:pos="397"/>
          <w:tab w:val="left" w:pos="851"/>
          <w:tab w:val="left" w:pos="1134"/>
          <w:tab w:val="left" w:pos="4536"/>
          <w:tab w:val="left" w:pos="5670"/>
          <w:tab w:val="left" w:pos="6804"/>
        </w:tabs>
        <w:spacing w:after="150" w:line="240" w:lineRule="auto"/>
        <w:jc w:val="both"/>
        <w:outlineLvl w:val="0"/>
        <w:rPr>
          <w:rFonts w:ascii="Trebuchet MS" w:eastAsia="Times New Roman" w:hAnsi="Trebuchet MS" w:cs="Times New Roman"/>
          <w:color w:val="000000"/>
          <w:sz w:val="36"/>
          <w:szCs w:val="36"/>
          <w:lang w:eastAsia="it-IT"/>
        </w:rPr>
      </w:pPr>
      <w:r w:rsidRPr="000D4F06">
        <w:rPr>
          <w:rFonts w:ascii="Trebuchet MS" w:eastAsia="Times New Roman" w:hAnsi="Trebuchet MS" w:cs="Times New Roman"/>
          <w:b/>
          <w:bCs/>
          <w:color w:val="000000"/>
          <w:sz w:val="36"/>
          <w:szCs w:val="36"/>
          <w:lang w:eastAsia="it-IT"/>
        </w:rPr>
        <w:t xml:space="preserve">Riammissione in servizio </w:t>
      </w:r>
    </w:p>
    <w:p w:rsidR="000D4F06" w:rsidRPr="000D4F06" w:rsidRDefault="000D4F06" w:rsidP="000D4F06">
      <w:pPr>
        <w:shd w:val="clear" w:color="auto" w:fill="FFFFFF"/>
        <w:tabs>
          <w:tab w:val="left" w:pos="397"/>
          <w:tab w:val="left" w:pos="851"/>
          <w:tab w:val="left" w:pos="1247"/>
          <w:tab w:val="left" w:pos="4536"/>
          <w:tab w:val="left" w:pos="5670"/>
          <w:tab w:val="left" w:pos="7088"/>
        </w:tabs>
        <w:spacing w:after="0" w:line="240" w:lineRule="auto"/>
        <w:jc w:val="both"/>
        <w:rPr>
          <w:rFonts w:ascii="Trebuchet MS" w:eastAsia="Times New Roman" w:hAnsi="Trebuchet MS" w:cs="Times New Roman"/>
          <w:i/>
          <w:iCs/>
          <w:color w:val="000000"/>
          <w:sz w:val="23"/>
          <w:szCs w:val="23"/>
          <w:lang w:eastAsia="it-IT"/>
        </w:rPr>
      </w:pPr>
      <w:r w:rsidRPr="000D4F06">
        <w:rPr>
          <w:rFonts w:ascii="Trebuchet MS" w:eastAsia="Times New Roman" w:hAnsi="Trebuchet MS" w:cs="Times New Roman"/>
          <w:i/>
          <w:iCs/>
          <w:color w:val="999999"/>
          <w:lang w:eastAsia="it-IT"/>
        </w:rPr>
        <w:t xml:space="preserve">Argomenti trattati: </w:t>
      </w:r>
      <w:hyperlink r:id="rId5" w:history="1">
        <w:r w:rsidRPr="000D4F06">
          <w:rPr>
            <w:rFonts w:ascii="Trebuchet MS" w:eastAsia="Times New Roman" w:hAnsi="Trebuchet MS" w:cs="Times New Roman"/>
            <w:i/>
            <w:iCs/>
            <w:color w:val="999999"/>
            <w:u w:val="single"/>
            <w:lang w:eastAsia="it-IT"/>
          </w:rPr>
          <w:t>Stato giuridico</w:t>
        </w:r>
      </w:hyperlink>
      <w:r w:rsidRPr="000D4F06">
        <w:rPr>
          <w:rFonts w:ascii="Trebuchet MS" w:eastAsia="Times New Roman" w:hAnsi="Trebuchet MS" w:cs="Times New Roman"/>
          <w:i/>
          <w:iCs/>
          <w:color w:val="999999"/>
          <w:lang w:eastAsia="it-IT"/>
        </w:rPr>
        <w:t xml:space="preserve">, </w:t>
      </w:r>
    </w:p>
    <w:p w:rsidR="000D4F06" w:rsidRPr="000D4F06" w:rsidRDefault="000D4F06" w:rsidP="000D4F06">
      <w:pPr>
        <w:shd w:val="clear" w:color="auto" w:fill="FFFFFF"/>
        <w:tabs>
          <w:tab w:val="left" w:pos="397"/>
          <w:tab w:val="left" w:pos="851"/>
          <w:tab w:val="left" w:pos="1247"/>
          <w:tab w:val="left" w:pos="4536"/>
          <w:tab w:val="left" w:pos="5670"/>
          <w:tab w:val="left" w:pos="7088"/>
        </w:tabs>
        <w:spacing w:after="240" w:line="240" w:lineRule="auto"/>
        <w:jc w:val="both"/>
        <w:rPr>
          <w:rFonts w:ascii="Trebuchet MS" w:eastAsia="Times New Roman" w:hAnsi="Trebuchet MS" w:cs="Times New Roman"/>
          <w:i/>
          <w:iCs/>
          <w:color w:val="000000"/>
          <w:sz w:val="23"/>
          <w:szCs w:val="23"/>
          <w:lang w:eastAsia="it-IT"/>
        </w:rPr>
      </w:pPr>
      <w:r w:rsidRPr="000D4F06">
        <w:rPr>
          <w:rFonts w:ascii="Trebuchet MS" w:eastAsia="Times New Roman" w:hAnsi="Trebuchet MS" w:cs="Times New Roman"/>
          <w:i/>
          <w:iCs/>
          <w:color w:val="000000"/>
          <w:sz w:val="23"/>
          <w:szCs w:val="23"/>
          <w:lang w:eastAsia="it-IT"/>
        </w:rPr>
        <w:t xml:space="preserve">Presentazione domanda entro il </w:t>
      </w:r>
      <w:r w:rsidRPr="000D4F06">
        <w:rPr>
          <w:rFonts w:ascii="Trebuchet MS" w:eastAsia="Times New Roman" w:hAnsi="Trebuchet MS" w:cs="Times New Roman"/>
          <w:b/>
          <w:bCs/>
          <w:i/>
          <w:iCs/>
          <w:color w:val="000000"/>
          <w:sz w:val="23"/>
          <w:szCs w:val="23"/>
          <w:lang w:eastAsia="it-IT"/>
        </w:rPr>
        <w:t>15 gennaio di ogni anno</w:t>
      </w:r>
    </w:p>
    <w:tbl>
      <w:tblPr>
        <w:tblW w:w="5000" w:type="pct"/>
        <w:tblCellMar>
          <w:left w:w="70" w:type="dxa"/>
          <w:right w:w="70" w:type="dxa"/>
        </w:tblCellMar>
        <w:tblLook w:val="04A0" w:firstRow="1" w:lastRow="0" w:firstColumn="1" w:lastColumn="0" w:noHBand="0" w:noVBand="1"/>
      </w:tblPr>
      <w:tblGrid>
        <w:gridCol w:w="9638"/>
      </w:tblGrid>
      <w:tr w:rsidR="000D4F06" w:rsidRPr="000D4F06" w:rsidTr="000D4F06">
        <w:tc>
          <w:tcPr>
            <w:tcW w:w="9779" w:type="dxa"/>
            <w:hideMark/>
          </w:tcPr>
          <w:p w:rsidR="000D4F06" w:rsidRPr="000D4F06" w:rsidRDefault="000D4F06" w:rsidP="000D4F06">
            <w:pPr>
              <w:tabs>
                <w:tab w:val="left" w:pos="397"/>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r w:rsidRPr="000D4F06">
              <w:rPr>
                <w:rFonts w:ascii="Arial" w:eastAsia="Times New Roman" w:hAnsi="Arial" w:cs="Arial"/>
                <w:color w:val="000000"/>
                <w:sz w:val="18"/>
                <w:szCs w:val="21"/>
                <w:lang w:eastAsia="it-IT"/>
              </w:rPr>
              <w:t>Come è noto, il personale dirigente, docente, educativo ed ATA della scuola cessato dal servizio può, ai sensi dell’</w:t>
            </w:r>
            <w:hyperlink r:id="rId6" w:tgtFrame="_parent" w:history="1">
              <w:r w:rsidRPr="000D4F06">
                <w:rPr>
                  <w:rFonts w:ascii="Arial" w:eastAsia="Times New Roman" w:hAnsi="Arial" w:cs="Arial"/>
                  <w:color w:val="993300"/>
                  <w:sz w:val="18"/>
                  <w:szCs w:val="21"/>
                  <w:lang w:eastAsia="it-IT"/>
                </w:rPr>
                <w:t xml:space="preserve">art. 516 del </w:t>
              </w:r>
              <w:proofErr w:type="spellStart"/>
              <w:r w:rsidRPr="000D4F06">
                <w:rPr>
                  <w:rFonts w:ascii="Arial" w:eastAsia="Times New Roman" w:hAnsi="Arial" w:cs="Arial"/>
                  <w:color w:val="993300"/>
                  <w:sz w:val="18"/>
                  <w:szCs w:val="21"/>
                  <w:lang w:eastAsia="it-IT"/>
                </w:rPr>
                <w:t>D.L.vo</w:t>
              </w:r>
              <w:proofErr w:type="spellEnd"/>
              <w:r w:rsidRPr="000D4F06">
                <w:rPr>
                  <w:rFonts w:ascii="Arial" w:eastAsia="Times New Roman" w:hAnsi="Arial" w:cs="Arial"/>
                  <w:color w:val="993300"/>
                  <w:sz w:val="18"/>
                  <w:szCs w:val="21"/>
                  <w:lang w:eastAsia="it-IT"/>
                </w:rPr>
                <w:t xml:space="preserve"> 16/4/94 n. 297</w:t>
              </w:r>
            </w:hyperlink>
            <w:r w:rsidRPr="000D4F06">
              <w:rPr>
                <w:rFonts w:ascii="Arial" w:eastAsia="Times New Roman" w:hAnsi="Arial" w:cs="Arial"/>
                <w:color w:val="000000"/>
                <w:sz w:val="18"/>
                <w:szCs w:val="21"/>
                <w:lang w:eastAsia="it-IT"/>
              </w:rPr>
              <w:t xml:space="preserve"> e dell’</w:t>
            </w:r>
            <w:hyperlink r:id="rId7" w:tgtFrame="_parent" w:history="1">
              <w:r w:rsidRPr="000D4F06">
                <w:rPr>
                  <w:rFonts w:ascii="Arial" w:eastAsia="Times New Roman" w:hAnsi="Arial" w:cs="Arial"/>
                  <w:color w:val="993300"/>
                  <w:sz w:val="18"/>
                  <w:szCs w:val="21"/>
                  <w:lang w:eastAsia="it-IT"/>
                </w:rPr>
                <w:t>art. 132 del DPR 10/1/57, n. 3</w:t>
              </w:r>
            </w:hyperlink>
            <w:r w:rsidRPr="000D4F06">
              <w:rPr>
                <w:rFonts w:ascii="Arial" w:eastAsia="Times New Roman" w:hAnsi="Arial" w:cs="Arial"/>
                <w:color w:val="000000"/>
                <w:sz w:val="18"/>
                <w:szCs w:val="21"/>
                <w:lang w:eastAsia="it-IT"/>
              </w:rPr>
              <w:t xml:space="preserve">, </w:t>
            </w:r>
            <w:r w:rsidRPr="000D4F06">
              <w:rPr>
                <w:rFonts w:ascii="Arial" w:eastAsia="Times New Roman" w:hAnsi="Arial" w:cs="Arial"/>
                <w:b/>
                <w:bCs/>
                <w:color w:val="000000"/>
                <w:sz w:val="18"/>
                <w:szCs w:val="21"/>
                <w:lang w:eastAsia="it-IT"/>
              </w:rPr>
              <w:t>entro il 15 gennaio di ogni anno</w:t>
            </w:r>
            <w:r w:rsidRPr="000D4F06">
              <w:rPr>
                <w:rFonts w:ascii="Arial" w:eastAsia="Times New Roman" w:hAnsi="Arial" w:cs="Arial"/>
                <w:color w:val="000000"/>
                <w:sz w:val="18"/>
                <w:szCs w:val="21"/>
                <w:lang w:eastAsia="it-IT"/>
              </w:rPr>
              <w:t xml:space="preserve">, presentare domanda di riammissione in servizio. Le aliquote delle riammissioni in servizio sono stabilite dalle </w:t>
            </w:r>
            <w:hyperlink r:id="rId8" w:tgtFrame="_parent" w:history="1">
              <w:r w:rsidRPr="000D4F06">
                <w:rPr>
                  <w:rFonts w:ascii="Arial" w:eastAsia="Times New Roman" w:hAnsi="Arial" w:cs="Arial"/>
                  <w:color w:val="993300"/>
                  <w:sz w:val="18"/>
                  <w:szCs w:val="21"/>
                  <w:lang w:eastAsia="it-IT"/>
                </w:rPr>
                <w:t>CC.MM. n. 194 del 20/7/90</w:t>
              </w:r>
            </w:hyperlink>
            <w:r w:rsidRPr="000D4F06">
              <w:rPr>
                <w:rFonts w:ascii="Arial" w:eastAsia="Times New Roman" w:hAnsi="Arial" w:cs="Arial"/>
                <w:color w:val="000000"/>
                <w:sz w:val="18"/>
                <w:szCs w:val="21"/>
                <w:lang w:eastAsia="it-IT"/>
              </w:rPr>
              <w:t xml:space="preserve"> e </w:t>
            </w:r>
            <w:hyperlink r:id="rId9" w:tgtFrame="_parent" w:history="1">
              <w:r w:rsidRPr="000D4F06">
                <w:rPr>
                  <w:rFonts w:ascii="Arial" w:eastAsia="Times New Roman" w:hAnsi="Arial" w:cs="Arial"/>
                  <w:color w:val="993300"/>
                  <w:sz w:val="18"/>
                  <w:szCs w:val="21"/>
                  <w:lang w:eastAsia="it-IT"/>
                </w:rPr>
                <w:t>n. 155 dell’11/6/91</w:t>
              </w:r>
            </w:hyperlink>
            <w:r w:rsidRPr="000D4F06">
              <w:rPr>
                <w:rFonts w:ascii="Arial" w:eastAsia="Times New Roman" w:hAnsi="Arial" w:cs="Arial"/>
                <w:color w:val="993300"/>
                <w:sz w:val="18"/>
                <w:szCs w:val="21"/>
                <w:lang w:eastAsia="it-IT"/>
              </w:rPr>
              <w:t>.</w:t>
            </w:r>
            <w:r w:rsidRPr="000D4F06">
              <w:rPr>
                <w:rFonts w:ascii="Arial" w:eastAsia="Times New Roman" w:hAnsi="Arial" w:cs="Arial"/>
                <w:color w:val="000000"/>
                <w:sz w:val="18"/>
                <w:szCs w:val="21"/>
                <w:lang w:eastAsia="it-IT"/>
              </w:rPr>
              <w:t xml:space="preserve"> </w:t>
            </w:r>
          </w:p>
          <w:p w:rsidR="000D4F06" w:rsidRPr="000D4F06" w:rsidRDefault="000D4F06" w:rsidP="000D4F06">
            <w:pPr>
              <w:tabs>
                <w:tab w:val="left" w:pos="397"/>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r w:rsidRPr="000D4F06">
              <w:rPr>
                <w:rFonts w:ascii="Arial" w:eastAsia="Times New Roman" w:hAnsi="Arial" w:cs="Arial"/>
                <w:color w:val="000000"/>
                <w:sz w:val="18"/>
                <w:szCs w:val="21"/>
                <w:lang w:eastAsia="it-IT"/>
              </w:rPr>
              <w:t>Tale istanza deve contenere: le indicazioni anagrafiche, la sede di titolarità precedente alla cessazione dal servizio, per i docenti della scuola secondaria la classe di concorso, per il personale ATA il profilo professionale di appartenenza al momento della cessazione, la causa della cessazione stessa, i motivi per cui viene richiesta la riammissione, le sedi di preferenza, l’assenso o diniego ad accettare una assegnazione d’ufficio per indisponibilità nelle sedi richieste, il recapito per eventuali comunicazioni.</w:t>
            </w:r>
          </w:p>
          <w:p w:rsidR="000D4F06" w:rsidRPr="000D4F06" w:rsidRDefault="000D4F06" w:rsidP="000D4F06">
            <w:pPr>
              <w:tabs>
                <w:tab w:val="left" w:pos="397"/>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r w:rsidRPr="000D4F06">
              <w:rPr>
                <w:rFonts w:ascii="Arial" w:eastAsia="Times New Roman" w:hAnsi="Arial" w:cs="Arial"/>
                <w:color w:val="000000"/>
                <w:sz w:val="18"/>
                <w:szCs w:val="21"/>
                <w:lang w:eastAsia="it-IT"/>
              </w:rPr>
              <w:t>La domanda di riammissione in servizio del personale ATA va presentata all’Ufficio Scolastico Regionale della provincia nella quale l’interessato era titolare all’atto della cessazione in servizio anche se la richiesta riguarda una provincia diversa. In tal caso, entro 15 giorni dalla ricezione, l’istanza, corredata da una relazione contenente gli elementi per una sua valutazione, verrà trasmessa all’Ufficio Scolastico Provinciale competente che disporrà, sentito il Consiglio di Amministrazione Provinciale, la riammissione in servizio in presenza di disponibilità nell’ambito delle massimo 15 preferenze espresse, sul 10% dei posti vacanti dopo le operazioni di mobilità.</w:t>
            </w:r>
          </w:p>
          <w:p w:rsidR="000D4F06" w:rsidRPr="000D4F06" w:rsidRDefault="000D4F06" w:rsidP="000D4F06">
            <w:pPr>
              <w:tabs>
                <w:tab w:val="left" w:pos="397"/>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r w:rsidRPr="000D4F06">
              <w:rPr>
                <w:rFonts w:ascii="Arial" w:eastAsia="Times New Roman" w:hAnsi="Arial" w:cs="Arial"/>
                <w:color w:val="000000"/>
                <w:sz w:val="18"/>
                <w:szCs w:val="21"/>
                <w:lang w:eastAsia="it-IT"/>
              </w:rPr>
              <w:t xml:space="preserve">Il provvedimento di riammissione in servizio, ha decorrenza </w:t>
            </w:r>
            <w:proofErr w:type="spellStart"/>
            <w:r w:rsidRPr="000D4F06">
              <w:rPr>
                <w:rFonts w:ascii="Arial" w:eastAsia="Times New Roman" w:hAnsi="Arial" w:cs="Arial"/>
                <w:color w:val="000000"/>
                <w:sz w:val="18"/>
                <w:szCs w:val="21"/>
                <w:lang w:eastAsia="it-IT"/>
              </w:rPr>
              <w:t>dall’a.s.</w:t>
            </w:r>
            <w:proofErr w:type="spellEnd"/>
            <w:r w:rsidRPr="000D4F06">
              <w:rPr>
                <w:rFonts w:ascii="Arial" w:eastAsia="Times New Roman" w:hAnsi="Arial" w:cs="Arial"/>
                <w:color w:val="000000"/>
                <w:sz w:val="18"/>
                <w:szCs w:val="21"/>
                <w:lang w:eastAsia="it-IT"/>
              </w:rPr>
              <w:t xml:space="preserve"> successivo alla data di emissione ed è adottato:</w:t>
            </w:r>
          </w:p>
          <w:p w:rsidR="000D4F06" w:rsidRPr="000D4F06" w:rsidRDefault="000D4F06" w:rsidP="000D4F06">
            <w:pPr>
              <w:numPr>
                <w:ilvl w:val="0"/>
                <w:numId w:val="1"/>
              </w:numPr>
              <w:tabs>
                <w:tab w:val="left" w:pos="397"/>
                <w:tab w:val="num" w:pos="600"/>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proofErr w:type="gramStart"/>
            <w:r w:rsidRPr="000D4F06">
              <w:rPr>
                <w:rFonts w:ascii="Arial" w:eastAsia="Times New Roman" w:hAnsi="Arial" w:cs="Arial"/>
                <w:color w:val="000000"/>
                <w:sz w:val="18"/>
                <w:szCs w:val="21"/>
                <w:lang w:eastAsia="it-IT"/>
              </w:rPr>
              <w:t>per</w:t>
            </w:r>
            <w:proofErr w:type="gramEnd"/>
            <w:r w:rsidRPr="000D4F06">
              <w:rPr>
                <w:rFonts w:ascii="Arial" w:eastAsia="Times New Roman" w:hAnsi="Arial" w:cs="Arial"/>
                <w:color w:val="000000"/>
                <w:sz w:val="18"/>
                <w:szCs w:val="21"/>
                <w:lang w:eastAsia="it-IT"/>
              </w:rPr>
              <w:t xml:space="preserve"> il personale dirigente, dal Direttore dell'Ufficio Scolastico della Regione prescelta;</w:t>
            </w:r>
          </w:p>
          <w:p w:rsidR="000D4F06" w:rsidRPr="000D4F06" w:rsidRDefault="000D4F06" w:rsidP="000D4F06">
            <w:pPr>
              <w:numPr>
                <w:ilvl w:val="0"/>
                <w:numId w:val="1"/>
              </w:numPr>
              <w:tabs>
                <w:tab w:val="left" w:pos="397"/>
                <w:tab w:val="num" w:pos="600"/>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proofErr w:type="gramStart"/>
            <w:r w:rsidRPr="000D4F06">
              <w:rPr>
                <w:rFonts w:ascii="Arial" w:eastAsia="Times New Roman" w:hAnsi="Arial" w:cs="Arial"/>
                <w:color w:val="000000"/>
                <w:sz w:val="18"/>
                <w:szCs w:val="21"/>
                <w:lang w:eastAsia="it-IT"/>
              </w:rPr>
              <w:t>per</w:t>
            </w:r>
            <w:proofErr w:type="gramEnd"/>
            <w:r w:rsidRPr="000D4F06">
              <w:rPr>
                <w:rFonts w:ascii="Arial" w:eastAsia="Times New Roman" w:hAnsi="Arial" w:cs="Arial"/>
                <w:color w:val="000000"/>
                <w:sz w:val="18"/>
                <w:szCs w:val="21"/>
                <w:lang w:eastAsia="it-IT"/>
              </w:rPr>
              <w:t xml:space="preserve"> il personale docente ed educativo, dal Dirigente dell’Ufficio Scolastico Regionale afferente la provincia prescelta, sentito il Consiglio Scolastico Provinciale dello stesso per il personale della scuola materna, elementare e media o il C.N.P.I. per il personale degli istituti e scuole di istruzione secondaria superiore;</w:t>
            </w:r>
          </w:p>
          <w:p w:rsidR="000D4F06" w:rsidRPr="000D4F06" w:rsidRDefault="000D4F06" w:rsidP="000D4F06">
            <w:pPr>
              <w:numPr>
                <w:ilvl w:val="0"/>
                <w:numId w:val="1"/>
              </w:numPr>
              <w:tabs>
                <w:tab w:val="left" w:pos="397"/>
                <w:tab w:val="num" w:pos="600"/>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proofErr w:type="gramStart"/>
            <w:r w:rsidRPr="000D4F06">
              <w:rPr>
                <w:rFonts w:ascii="Arial" w:eastAsia="Times New Roman" w:hAnsi="Arial" w:cs="Arial"/>
                <w:color w:val="000000"/>
                <w:sz w:val="18"/>
                <w:szCs w:val="21"/>
                <w:lang w:eastAsia="it-IT"/>
              </w:rPr>
              <w:t>per</w:t>
            </w:r>
            <w:proofErr w:type="gramEnd"/>
            <w:r w:rsidRPr="000D4F06">
              <w:rPr>
                <w:rFonts w:ascii="Arial" w:eastAsia="Times New Roman" w:hAnsi="Arial" w:cs="Arial"/>
                <w:color w:val="000000"/>
                <w:sz w:val="18"/>
                <w:szCs w:val="21"/>
                <w:lang w:eastAsia="it-IT"/>
              </w:rPr>
              <w:t xml:space="preserve"> il personale ATA, dal Dirigente dell’Ufficio Scolastico Regionale sentito il Consiglio di Amministrazione Provinciale della provincia prescelta.</w:t>
            </w:r>
          </w:p>
          <w:p w:rsidR="000D4F06" w:rsidRPr="000D4F06" w:rsidRDefault="000D4F06" w:rsidP="000D4F06">
            <w:pPr>
              <w:tabs>
                <w:tab w:val="left" w:pos="397"/>
                <w:tab w:val="num" w:pos="600"/>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r w:rsidRPr="000D4F06">
              <w:rPr>
                <w:rFonts w:ascii="Arial" w:eastAsia="Times New Roman" w:hAnsi="Arial" w:cs="Arial"/>
                <w:color w:val="000000"/>
                <w:sz w:val="18"/>
                <w:szCs w:val="21"/>
                <w:lang w:eastAsia="it-IT"/>
              </w:rPr>
              <w:t xml:space="preserve">Si ricorda che i suddetti organi collegiali restano in vigore fino alla costituzione dei nuovi organi collegiali locali, o regionali e del Consiglio Superiore della P.I., previsti dal </w:t>
            </w:r>
            <w:hyperlink r:id="rId10" w:tgtFrame="_parent" w:history="1">
              <w:proofErr w:type="spellStart"/>
              <w:r w:rsidRPr="000D4F06">
                <w:rPr>
                  <w:rFonts w:ascii="Arial" w:eastAsia="Times New Roman" w:hAnsi="Arial" w:cs="Arial"/>
                  <w:color w:val="993300"/>
                  <w:sz w:val="18"/>
                  <w:szCs w:val="21"/>
                  <w:lang w:eastAsia="it-IT"/>
                </w:rPr>
                <w:t>D.L.vo</w:t>
              </w:r>
              <w:proofErr w:type="spellEnd"/>
              <w:r w:rsidRPr="000D4F06">
                <w:rPr>
                  <w:rFonts w:ascii="Arial" w:eastAsia="Times New Roman" w:hAnsi="Arial" w:cs="Arial"/>
                  <w:color w:val="993300"/>
                  <w:sz w:val="18"/>
                  <w:szCs w:val="21"/>
                  <w:lang w:eastAsia="it-IT"/>
                </w:rPr>
                <w:t xml:space="preserve"> 30/6/99, n. 233</w:t>
              </w:r>
            </w:hyperlink>
            <w:r w:rsidRPr="000D4F06">
              <w:rPr>
                <w:rFonts w:ascii="Arial" w:eastAsia="Times New Roman" w:hAnsi="Arial" w:cs="Arial"/>
                <w:color w:val="000000"/>
                <w:sz w:val="18"/>
                <w:szCs w:val="21"/>
                <w:lang w:eastAsia="it-IT"/>
              </w:rPr>
              <w:t xml:space="preserve">, in virtù dell’art. 6 del D.L. 23/11/2001, n. 411, convertito in </w:t>
            </w:r>
            <w:hyperlink r:id="rId11" w:tgtFrame="_parent" w:history="1">
              <w:r w:rsidRPr="000D4F06">
                <w:rPr>
                  <w:rFonts w:ascii="Arial" w:eastAsia="Times New Roman" w:hAnsi="Arial" w:cs="Arial"/>
                  <w:color w:val="993300"/>
                  <w:sz w:val="18"/>
                  <w:szCs w:val="21"/>
                  <w:lang w:eastAsia="it-IT"/>
                </w:rPr>
                <w:t>Legge n. 463 del 31/12/2001</w:t>
              </w:r>
            </w:hyperlink>
            <w:r w:rsidRPr="000D4F06">
              <w:rPr>
                <w:rFonts w:ascii="Arial" w:eastAsia="Times New Roman" w:hAnsi="Arial" w:cs="Arial"/>
                <w:color w:val="000000"/>
                <w:sz w:val="18"/>
                <w:szCs w:val="21"/>
                <w:lang w:eastAsia="it-IT"/>
              </w:rPr>
              <w:t>.</w:t>
            </w:r>
          </w:p>
          <w:p w:rsidR="000D4F06" w:rsidRPr="000D4F06" w:rsidRDefault="000D4F06" w:rsidP="000D4F06">
            <w:pPr>
              <w:tabs>
                <w:tab w:val="left" w:pos="397"/>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r w:rsidRPr="000D4F06">
              <w:rPr>
                <w:rFonts w:ascii="Arial" w:eastAsia="Times New Roman" w:hAnsi="Arial" w:cs="Arial"/>
                <w:color w:val="000000"/>
                <w:sz w:val="18"/>
                <w:szCs w:val="21"/>
                <w:lang w:eastAsia="it-IT"/>
              </w:rPr>
              <w:t>Le domande di riammissione in servizio, debbono essere presentate:</w:t>
            </w:r>
          </w:p>
          <w:p w:rsidR="000D4F06" w:rsidRPr="000D4F06" w:rsidRDefault="000D4F06" w:rsidP="000D4F06">
            <w:pPr>
              <w:numPr>
                <w:ilvl w:val="0"/>
                <w:numId w:val="2"/>
              </w:numPr>
              <w:tabs>
                <w:tab w:val="left" w:pos="397"/>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proofErr w:type="gramStart"/>
            <w:r w:rsidRPr="000D4F06">
              <w:rPr>
                <w:rFonts w:ascii="Arial" w:eastAsia="Times New Roman" w:hAnsi="Arial" w:cs="Arial"/>
                <w:color w:val="000000"/>
                <w:sz w:val="18"/>
                <w:szCs w:val="21"/>
                <w:lang w:eastAsia="it-IT"/>
              </w:rPr>
              <w:t>dal</w:t>
            </w:r>
            <w:proofErr w:type="gramEnd"/>
            <w:r w:rsidRPr="000D4F06">
              <w:rPr>
                <w:rFonts w:ascii="Arial" w:eastAsia="Times New Roman" w:hAnsi="Arial" w:cs="Arial"/>
                <w:color w:val="000000"/>
                <w:sz w:val="18"/>
                <w:szCs w:val="21"/>
                <w:lang w:eastAsia="it-IT"/>
              </w:rPr>
              <w:t xml:space="preserve"> personale dirigente, alla Direzione Scolastica Regionale prescelta;</w:t>
            </w:r>
          </w:p>
          <w:p w:rsidR="000D4F06" w:rsidRPr="000D4F06" w:rsidRDefault="000D4F06" w:rsidP="000D4F06">
            <w:pPr>
              <w:numPr>
                <w:ilvl w:val="0"/>
                <w:numId w:val="2"/>
              </w:numPr>
              <w:tabs>
                <w:tab w:val="left" w:pos="397"/>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proofErr w:type="gramStart"/>
            <w:r w:rsidRPr="000D4F06">
              <w:rPr>
                <w:rFonts w:ascii="Arial" w:eastAsia="Times New Roman" w:hAnsi="Arial" w:cs="Arial"/>
                <w:color w:val="000000"/>
                <w:sz w:val="18"/>
                <w:szCs w:val="21"/>
                <w:lang w:eastAsia="it-IT"/>
              </w:rPr>
              <w:t>dal</w:t>
            </w:r>
            <w:proofErr w:type="gramEnd"/>
            <w:r w:rsidRPr="000D4F06">
              <w:rPr>
                <w:rFonts w:ascii="Arial" w:eastAsia="Times New Roman" w:hAnsi="Arial" w:cs="Arial"/>
                <w:color w:val="000000"/>
                <w:sz w:val="18"/>
                <w:szCs w:val="21"/>
                <w:lang w:eastAsia="it-IT"/>
              </w:rPr>
              <w:t xml:space="preserve"> personale docente, educativo ed A.T.A., alla Direzione Scolastica Regionale nel cui ambito territoriale è ubicata la provincia prescelta ed al dirigente dell’ USP di tale provincia.</w:t>
            </w:r>
          </w:p>
          <w:p w:rsidR="000D4F06" w:rsidRPr="000D4F06" w:rsidRDefault="000D4F06" w:rsidP="000D4F06">
            <w:pPr>
              <w:tabs>
                <w:tab w:val="left" w:pos="397"/>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p>
          <w:p w:rsidR="000D4F06" w:rsidRPr="000D4F06" w:rsidRDefault="000D4F06" w:rsidP="000D4F06">
            <w:pPr>
              <w:tabs>
                <w:tab w:val="left" w:pos="397"/>
                <w:tab w:val="left" w:pos="851"/>
                <w:tab w:val="left" w:pos="1247"/>
                <w:tab w:val="left" w:pos="4536"/>
                <w:tab w:val="left" w:pos="5670"/>
                <w:tab w:val="left" w:pos="7088"/>
              </w:tabs>
              <w:spacing w:after="0" w:line="240" w:lineRule="auto"/>
              <w:jc w:val="both"/>
              <w:rPr>
                <w:rFonts w:ascii="Arial" w:eastAsia="Times New Roman" w:hAnsi="Arial" w:cs="Arial"/>
                <w:color w:val="000000"/>
                <w:sz w:val="18"/>
                <w:szCs w:val="21"/>
                <w:lang w:eastAsia="it-IT"/>
              </w:rPr>
            </w:pPr>
            <w:r w:rsidRPr="000D4F06">
              <w:rPr>
                <w:rFonts w:ascii="Arial" w:eastAsia="Times New Roman" w:hAnsi="Arial" w:cs="Arial"/>
                <w:color w:val="000000"/>
                <w:sz w:val="18"/>
                <w:szCs w:val="21"/>
                <w:lang w:eastAsia="it-IT"/>
              </w:rPr>
              <w:t>Ad ogni buon fine, si precisa che:</w:t>
            </w:r>
          </w:p>
          <w:p w:rsidR="000D4F06" w:rsidRPr="000D4F06" w:rsidRDefault="000D4F06" w:rsidP="000D4F06">
            <w:pPr>
              <w:tabs>
                <w:tab w:val="left" w:pos="397"/>
                <w:tab w:val="left" w:pos="851"/>
                <w:tab w:val="left" w:pos="1247"/>
                <w:tab w:val="left" w:pos="4536"/>
                <w:tab w:val="left" w:pos="5670"/>
                <w:tab w:val="left" w:pos="7088"/>
              </w:tabs>
              <w:spacing w:after="0" w:line="240" w:lineRule="auto"/>
              <w:ind w:left="397" w:hanging="397"/>
              <w:jc w:val="both"/>
              <w:rPr>
                <w:rFonts w:ascii="Arial" w:eastAsia="Times New Roman" w:hAnsi="Arial" w:cs="Arial"/>
                <w:color w:val="000000"/>
                <w:sz w:val="18"/>
                <w:szCs w:val="21"/>
                <w:lang w:eastAsia="it-IT"/>
              </w:rPr>
            </w:pPr>
            <w:r w:rsidRPr="000D4F06">
              <w:rPr>
                <w:rFonts w:ascii="Arial" w:eastAsia="Times New Roman" w:hAnsi="Arial" w:cs="Arial"/>
                <w:color w:val="000000"/>
                <w:sz w:val="18"/>
                <w:szCs w:val="21"/>
                <w:lang w:eastAsia="it-IT"/>
              </w:rPr>
              <w:t>a)</w:t>
            </w:r>
            <w:r w:rsidRPr="000D4F06">
              <w:rPr>
                <w:rFonts w:ascii="Arial" w:eastAsia="Times New Roman" w:hAnsi="Arial" w:cs="Arial"/>
                <w:color w:val="000000"/>
                <w:sz w:val="18"/>
                <w:szCs w:val="21"/>
                <w:lang w:eastAsia="it-IT"/>
              </w:rPr>
              <w:tab/>
              <w:t>per i dirigenti scolastici la Funzione Pubblica, appositamente interpellata, ha espresso, tra l’altro, i seguenti pareri:</w:t>
            </w:r>
          </w:p>
          <w:p w:rsidR="000D4F06" w:rsidRPr="000D4F06" w:rsidRDefault="000D4F06" w:rsidP="000D4F06">
            <w:pPr>
              <w:tabs>
                <w:tab w:val="left" w:pos="397"/>
                <w:tab w:val="left" w:pos="851"/>
                <w:tab w:val="left" w:pos="1247"/>
                <w:tab w:val="left" w:pos="4536"/>
                <w:tab w:val="left" w:pos="5670"/>
                <w:tab w:val="left" w:pos="7088"/>
              </w:tabs>
              <w:spacing w:after="0" w:line="240" w:lineRule="auto"/>
              <w:ind w:left="851" w:hanging="851"/>
              <w:jc w:val="both"/>
              <w:rPr>
                <w:rFonts w:ascii="Arial" w:eastAsia="Times New Roman" w:hAnsi="Arial" w:cs="Arial"/>
                <w:color w:val="000000"/>
                <w:sz w:val="18"/>
                <w:szCs w:val="21"/>
                <w:lang w:eastAsia="it-IT"/>
              </w:rPr>
            </w:pPr>
            <w:r w:rsidRPr="000D4F06">
              <w:rPr>
                <w:rFonts w:ascii="Arial" w:eastAsia="Times New Roman" w:hAnsi="Arial" w:cs="Arial"/>
                <w:color w:val="000000"/>
                <w:sz w:val="18"/>
                <w:szCs w:val="21"/>
                <w:lang w:eastAsia="it-IT"/>
              </w:rPr>
              <w:tab/>
              <w:t>-</w:t>
            </w:r>
            <w:r w:rsidRPr="000D4F06">
              <w:rPr>
                <w:rFonts w:ascii="Arial" w:eastAsia="Times New Roman" w:hAnsi="Arial" w:cs="Arial"/>
                <w:color w:val="000000"/>
                <w:sz w:val="18"/>
                <w:szCs w:val="21"/>
                <w:lang w:eastAsia="it-IT"/>
              </w:rPr>
              <w:tab/>
              <w:t>per i dirigenti scolastici collocati in pensione con detta qualifica, la riammissione in servizio opera, come estensione generale della norma relativa a tutta la dirigenza, in presenza di disponibilità di posti vacanti nel ruolo dirigenziale di ex servizio;</w:t>
            </w:r>
          </w:p>
          <w:p w:rsidR="000D4F06" w:rsidRPr="000D4F06" w:rsidRDefault="000D4F06" w:rsidP="000D4F06">
            <w:pPr>
              <w:tabs>
                <w:tab w:val="left" w:pos="397"/>
                <w:tab w:val="left" w:pos="851"/>
                <w:tab w:val="left" w:pos="1247"/>
                <w:tab w:val="left" w:pos="4536"/>
                <w:tab w:val="left" w:pos="5670"/>
                <w:tab w:val="left" w:pos="7088"/>
              </w:tabs>
              <w:spacing w:after="0" w:line="240" w:lineRule="auto"/>
              <w:ind w:left="851" w:hanging="851"/>
              <w:jc w:val="both"/>
              <w:rPr>
                <w:rFonts w:ascii="Arial" w:eastAsia="Times New Roman" w:hAnsi="Arial" w:cs="Arial"/>
                <w:color w:val="000000"/>
                <w:sz w:val="18"/>
                <w:szCs w:val="21"/>
                <w:lang w:eastAsia="it-IT"/>
              </w:rPr>
            </w:pPr>
            <w:r w:rsidRPr="000D4F06">
              <w:rPr>
                <w:rFonts w:ascii="Arial" w:eastAsia="Times New Roman" w:hAnsi="Arial" w:cs="Arial"/>
                <w:color w:val="000000"/>
                <w:sz w:val="18"/>
                <w:szCs w:val="21"/>
                <w:lang w:eastAsia="it-IT"/>
              </w:rPr>
              <w:tab/>
              <w:t>-</w:t>
            </w:r>
            <w:r w:rsidRPr="000D4F06">
              <w:rPr>
                <w:rFonts w:ascii="Arial" w:eastAsia="Times New Roman" w:hAnsi="Arial" w:cs="Arial"/>
                <w:color w:val="000000"/>
                <w:sz w:val="18"/>
                <w:szCs w:val="21"/>
                <w:lang w:eastAsia="it-IT"/>
              </w:rPr>
              <w:tab/>
              <w:t>che alla disponibilità del posto deve accompagnarsi un atto autorizzativo alla nomina, così come avviene anche nelle procedure concorsuali;</w:t>
            </w:r>
          </w:p>
          <w:p w:rsidR="000D4F06" w:rsidRPr="000D4F06" w:rsidRDefault="000D4F06" w:rsidP="000D4F06">
            <w:pPr>
              <w:tabs>
                <w:tab w:val="left" w:pos="397"/>
                <w:tab w:val="left" w:pos="851"/>
                <w:tab w:val="left" w:pos="1247"/>
                <w:tab w:val="left" w:pos="4536"/>
                <w:tab w:val="left" w:pos="5670"/>
                <w:tab w:val="left" w:pos="7088"/>
              </w:tabs>
              <w:spacing w:after="0" w:line="240" w:lineRule="auto"/>
              <w:ind w:left="397" w:hanging="397"/>
              <w:jc w:val="both"/>
              <w:rPr>
                <w:rFonts w:ascii="Arial" w:eastAsia="Times New Roman" w:hAnsi="Arial" w:cs="Arial"/>
                <w:color w:val="000000"/>
                <w:sz w:val="18"/>
                <w:szCs w:val="21"/>
                <w:lang w:eastAsia="it-IT"/>
              </w:rPr>
            </w:pPr>
            <w:r w:rsidRPr="000D4F06">
              <w:rPr>
                <w:rFonts w:ascii="Arial" w:eastAsia="Times New Roman" w:hAnsi="Arial" w:cs="Arial"/>
                <w:color w:val="000000"/>
                <w:sz w:val="18"/>
                <w:szCs w:val="21"/>
                <w:lang w:eastAsia="it-IT"/>
              </w:rPr>
              <w:t>b)</w:t>
            </w:r>
            <w:r w:rsidRPr="000D4F06">
              <w:rPr>
                <w:rFonts w:ascii="Arial" w:eastAsia="Times New Roman" w:hAnsi="Arial" w:cs="Arial"/>
                <w:color w:val="000000"/>
                <w:sz w:val="18"/>
                <w:szCs w:val="21"/>
                <w:lang w:eastAsia="it-IT"/>
              </w:rPr>
              <w:tab/>
              <w:t>per il personale ATA, il richiamo dell'</w:t>
            </w:r>
            <w:hyperlink r:id="rId12" w:tgtFrame="_parent" w:history="1">
              <w:r w:rsidRPr="000D4F06">
                <w:rPr>
                  <w:rFonts w:ascii="Arial" w:eastAsia="Times New Roman" w:hAnsi="Arial" w:cs="Arial"/>
                  <w:color w:val="993300"/>
                  <w:sz w:val="18"/>
                  <w:szCs w:val="21"/>
                  <w:lang w:eastAsia="it-IT"/>
                </w:rPr>
                <w:t>art. 132 del D.P.R. n. 3/57</w:t>
              </w:r>
            </w:hyperlink>
            <w:r w:rsidRPr="000D4F06">
              <w:rPr>
                <w:rFonts w:ascii="Arial" w:eastAsia="Times New Roman" w:hAnsi="Arial" w:cs="Arial"/>
                <w:color w:val="000000"/>
                <w:sz w:val="18"/>
                <w:szCs w:val="21"/>
                <w:lang w:eastAsia="it-IT"/>
              </w:rPr>
              <w:t xml:space="preserve">, è riportato al punto 10, della </w:t>
            </w:r>
            <w:proofErr w:type="spellStart"/>
            <w:r w:rsidRPr="000D4F06">
              <w:rPr>
                <w:rFonts w:ascii="Arial" w:eastAsia="Times New Roman" w:hAnsi="Arial" w:cs="Arial"/>
                <w:color w:val="000000"/>
                <w:sz w:val="18"/>
                <w:szCs w:val="21"/>
                <w:lang w:eastAsia="it-IT"/>
              </w:rPr>
              <w:t>lett</w:t>
            </w:r>
            <w:proofErr w:type="spellEnd"/>
            <w:r w:rsidRPr="000D4F06">
              <w:rPr>
                <w:rFonts w:ascii="Arial" w:eastAsia="Times New Roman" w:hAnsi="Arial" w:cs="Arial"/>
                <w:color w:val="000000"/>
                <w:sz w:val="18"/>
                <w:szCs w:val="21"/>
                <w:lang w:eastAsia="it-IT"/>
              </w:rPr>
              <w:t>. g), del 1° comma, dell’</w:t>
            </w:r>
            <w:hyperlink r:id="rId13" w:tgtFrame="_parent" w:history="1">
              <w:r w:rsidRPr="000D4F06">
                <w:rPr>
                  <w:rFonts w:ascii="Arial" w:eastAsia="Times New Roman" w:hAnsi="Arial" w:cs="Arial"/>
                  <w:color w:val="993300"/>
                  <w:sz w:val="18"/>
                  <w:szCs w:val="21"/>
                  <w:lang w:eastAsia="it-IT"/>
                </w:rPr>
                <w:t>art. 146 del CCNL 29/11/2007;</w:t>
              </w:r>
            </w:hyperlink>
          </w:p>
          <w:p w:rsidR="000D4F06" w:rsidRPr="000D4F06" w:rsidRDefault="000D4F06" w:rsidP="000D4F06">
            <w:pPr>
              <w:tabs>
                <w:tab w:val="left" w:pos="397"/>
                <w:tab w:val="left" w:pos="851"/>
                <w:tab w:val="left" w:pos="1247"/>
                <w:tab w:val="left" w:pos="4536"/>
                <w:tab w:val="left" w:pos="5670"/>
                <w:tab w:val="left" w:pos="7088"/>
              </w:tabs>
              <w:spacing w:after="0" w:line="240" w:lineRule="auto"/>
              <w:ind w:left="397" w:hanging="397"/>
              <w:jc w:val="both"/>
              <w:rPr>
                <w:rFonts w:ascii="Verdana" w:eastAsia="Times New Roman" w:hAnsi="Verdana" w:cs="Times New Roman"/>
                <w:color w:val="000000"/>
                <w:sz w:val="20"/>
                <w:szCs w:val="20"/>
                <w:lang w:eastAsia="it-IT"/>
              </w:rPr>
            </w:pPr>
            <w:r w:rsidRPr="000D4F06">
              <w:rPr>
                <w:rFonts w:ascii="Arial" w:eastAsia="Times New Roman" w:hAnsi="Arial" w:cs="Arial"/>
                <w:color w:val="000000"/>
                <w:sz w:val="18"/>
                <w:szCs w:val="21"/>
                <w:lang w:eastAsia="it-IT"/>
              </w:rPr>
              <w:t>c)</w:t>
            </w:r>
            <w:r w:rsidRPr="000D4F06">
              <w:rPr>
                <w:rFonts w:ascii="Arial" w:eastAsia="Times New Roman" w:hAnsi="Arial" w:cs="Arial"/>
                <w:color w:val="000000"/>
                <w:sz w:val="18"/>
                <w:szCs w:val="21"/>
                <w:lang w:eastAsia="it-IT"/>
              </w:rPr>
              <w:tab/>
              <w:t>il personale riammesso in servizio assume la posizione giuridica ed economica occupata alla data della cessazione del rapporto di lavoro.</w:t>
            </w:r>
          </w:p>
        </w:tc>
      </w:tr>
    </w:tbl>
    <w:p w:rsidR="000C752C" w:rsidRDefault="000C752C">
      <w:bookmarkStart w:id="0" w:name="_GoBack"/>
      <w:bookmarkEnd w:id="0"/>
    </w:p>
    <w:sectPr w:rsidR="000C75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C26"/>
    <w:multiLevelType w:val="hybridMultilevel"/>
    <w:tmpl w:val="5EF08250"/>
    <w:lvl w:ilvl="0" w:tplc="E5AC8B94">
      <w:numFmt w:val="bullet"/>
      <w:lvlText w:val=""/>
      <w:lvlJc w:val="left"/>
      <w:pPr>
        <w:tabs>
          <w:tab w:val="num" w:pos="473"/>
        </w:tabs>
        <w:ind w:left="454" w:hanging="341"/>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631B553B"/>
    <w:multiLevelType w:val="hybridMultilevel"/>
    <w:tmpl w:val="896EBA04"/>
    <w:lvl w:ilvl="0" w:tplc="E5AC8B94">
      <w:numFmt w:val="bullet"/>
      <w:lvlText w:val=""/>
      <w:lvlJc w:val="left"/>
      <w:pPr>
        <w:tabs>
          <w:tab w:val="num" w:pos="720"/>
        </w:tabs>
        <w:ind w:left="701" w:hanging="341"/>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06"/>
    <w:rsid w:val="000C752C"/>
    <w:rsid w:val="000D4F06"/>
    <w:rsid w:val="002D6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659BF-1D68-4AFB-A48A-0C0E1BFC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62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51919">
      <w:bodyDiv w:val="1"/>
      <w:marLeft w:val="0"/>
      <w:marRight w:val="0"/>
      <w:marTop w:val="0"/>
      <w:marBottom w:val="0"/>
      <w:divBdr>
        <w:top w:val="none" w:sz="0" w:space="0" w:color="auto"/>
        <w:left w:val="none" w:sz="0" w:space="0" w:color="auto"/>
        <w:bottom w:val="none" w:sz="0" w:space="0" w:color="auto"/>
        <w:right w:val="none" w:sz="0" w:space="0" w:color="auto"/>
      </w:divBdr>
      <w:divsChild>
        <w:div w:id="668564639">
          <w:marLeft w:val="0"/>
          <w:marRight w:val="0"/>
          <w:marTop w:val="0"/>
          <w:marBottom w:val="0"/>
          <w:divBdr>
            <w:top w:val="none" w:sz="0" w:space="0" w:color="auto"/>
            <w:left w:val="none" w:sz="0" w:space="0" w:color="auto"/>
            <w:bottom w:val="none" w:sz="0" w:space="0" w:color="auto"/>
            <w:right w:val="none" w:sz="0" w:space="0" w:color="auto"/>
          </w:divBdr>
          <w:divsChild>
            <w:div w:id="868492538">
              <w:marLeft w:val="0"/>
              <w:marRight w:val="0"/>
              <w:marTop w:val="0"/>
              <w:marBottom w:val="0"/>
              <w:divBdr>
                <w:top w:val="none" w:sz="0" w:space="0" w:color="auto"/>
                <w:left w:val="none" w:sz="0" w:space="0" w:color="auto"/>
                <w:bottom w:val="none" w:sz="0" w:space="0" w:color="auto"/>
                <w:right w:val="none" w:sz="0" w:space="0" w:color="auto"/>
              </w:divBdr>
              <w:divsChild>
                <w:div w:id="36127943">
                  <w:marLeft w:val="75"/>
                  <w:marRight w:val="75"/>
                  <w:marTop w:val="0"/>
                  <w:marBottom w:val="0"/>
                  <w:divBdr>
                    <w:top w:val="none" w:sz="0" w:space="0" w:color="auto"/>
                    <w:left w:val="none" w:sz="0" w:space="0" w:color="auto"/>
                    <w:bottom w:val="none" w:sz="0" w:space="0" w:color="auto"/>
                    <w:right w:val="none" w:sz="0" w:space="0" w:color="auto"/>
                  </w:divBdr>
                  <w:divsChild>
                    <w:div w:id="809522585">
                      <w:marLeft w:val="0"/>
                      <w:marRight w:val="0"/>
                      <w:marTop w:val="0"/>
                      <w:marBottom w:val="0"/>
                      <w:divBdr>
                        <w:top w:val="none" w:sz="0" w:space="0" w:color="auto"/>
                        <w:left w:val="none" w:sz="0" w:space="0" w:color="auto"/>
                        <w:bottom w:val="none" w:sz="0" w:space="0" w:color="auto"/>
                        <w:right w:val="none" w:sz="0" w:space="0" w:color="auto"/>
                      </w:divBdr>
                      <w:divsChild>
                        <w:div w:id="1301569534">
                          <w:marLeft w:val="0"/>
                          <w:marRight w:val="0"/>
                          <w:marTop w:val="0"/>
                          <w:marBottom w:val="0"/>
                          <w:divBdr>
                            <w:top w:val="none" w:sz="0" w:space="0" w:color="auto"/>
                            <w:left w:val="none" w:sz="0" w:space="0" w:color="auto"/>
                            <w:bottom w:val="none" w:sz="0" w:space="0" w:color="auto"/>
                            <w:right w:val="none" w:sz="0" w:space="0" w:color="auto"/>
                          </w:divBdr>
                          <w:divsChild>
                            <w:div w:id="346832898">
                              <w:marLeft w:val="0"/>
                              <w:marRight w:val="0"/>
                              <w:marTop w:val="0"/>
                              <w:marBottom w:val="0"/>
                              <w:divBdr>
                                <w:top w:val="none" w:sz="0" w:space="0" w:color="auto"/>
                                <w:left w:val="none" w:sz="0" w:space="0" w:color="auto"/>
                                <w:bottom w:val="none" w:sz="0" w:space="0" w:color="auto"/>
                                <w:right w:val="none" w:sz="0" w:space="0" w:color="auto"/>
                              </w:divBdr>
                              <w:divsChild>
                                <w:div w:id="3797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als.it/allegati.aspx?file=Miur_cm194-90.htm&amp;tipo=htm&amp;tab=6" TargetMode="External"/><Relationship Id="rId13" Type="http://schemas.openxmlformats.org/officeDocument/2006/relationships/hyperlink" Target="http://www.snals.it/allegati.aspx?file=CCNL_SC_06-09_291107.HTM&amp;tipo=htm&amp;tab=8&amp;segnalibro=art_146" TargetMode="External"/><Relationship Id="rId3" Type="http://schemas.openxmlformats.org/officeDocument/2006/relationships/settings" Target="settings.xml"/><Relationship Id="rId7" Type="http://schemas.openxmlformats.org/officeDocument/2006/relationships/hyperlink" Target="http://www.snals.it/allegati.aspx?file=DPR_3-57.HTM&amp;tipo=htm&amp;tab=9&amp;segnalibro=art_132" TargetMode="External"/><Relationship Id="rId12" Type="http://schemas.openxmlformats.org/officeDocument/2006/relationships/hyperlink" Target="http://www.snals.it/allegati.aspx?file=DPR_3-57.HTM&amp;tipo=htm&amp;tab=9&amp;segnalibro=art_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als.it/allegati.aspx?file=DLGS_297-94.HTM&amp;tipo=htm&amp;tab=9&amp;segnalibro=art_516" TargetMode="External"/><Relationship Id="rId11" Type="http://schemas.openxmlformats.org/officeDocument/2006/relationships/hyperlink" Target="http://www.snals.it/allegati.aspx?file=L_463-01.HTM&amp;tipo=htm&amp;tab=9" TargetMode="External"/><Relationship Id="rId5" Type="http://schemas.openxmlformats.org/officeDocument/2006/relationships/hyperlink" Target="http://www.snals.it/RisultatiRicerca.aspx?tag=Stato+giuridico" TargetMode="External"/><Relationship Id="rId15" Type="http://schemas.openxmlformats.org/officeDocument/2006/relationships/theme" Target="theme/theme1.xml"/><Relationship Id="rId10" Type="http://schemas.openxmlformats.org/officeDocument/2006/relationships/hyperlink" Target="http://www.snals.it/allegati.aspx?file=DLGS_233-99.HTM&amp;tipo=htm&amp;tab=9" TargetMode="External"/><Relationship Id="rId4" Type="http://schemas.openxmlformats.org/officeDocument/2006/relationships/webSettings" Target="webSettings.xml"/><Relationship Id="rId9" Type="http://schemas.openxmlformats.org/officeDocument/2006/relationships/hyperlink" Target="http://www.snals.it/allegati.aspx?file=Miur_cm155-91.htm&amp;tipo=htm&amp;tab=6"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Term110</dc:creator>
  <cp:keywords/>
  <dc:description/>
  <cp:lastModifiedBy>Term110</cp:lastModifiedBy>
  <cp:revision>1</cp:revision>
  <dcterms:created xsi:type="dcterms:W3CDTF">2015-12-02T09:46:00Z</dcterms:created>
  <dcterms:modified xsi:type="dcterms:W3CDTF">2015-12-02T09:47:00Z</dcterms:modified>
</cp:coreProperties>
</file>